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F1" w:rsidRPr="000633D4" w:rsidRDefault="00166EF1" w:rsidP="00A26FCB">
      <w:pPr>
        <w:pStyle w:val="Body"/>
        <w:jc w:val="center"/>
        <w:rPr>
          <w:rFonts w:asciiTheme="minorHAnsi" w:hAnsiTheme="minorHAnsi" w:cstheme="minorHAnsi"/>
          <w:color w:val="FF0000"/>
        </w:rPr>
      </w:pPr>
      <w:bookmarkStart w:id="0" w:name="_Hlk62638098"/>
      <w:bookmarkStart w:id="1" w:name="_GoBack"/>
      <w:bookmarkEnd w:id="0"/>
      <w:bookmarkEnd w:id="1"/>
      <w:r w:rsidRPr="000633D4">
        <w:rPr>
          <w:rFonts w:asciiTheme="minorHAnsi" w:hAnsiTheme="minorHAnsi" w:cstheme="minorHAnsi"/>
          <w:noProof/>
          <w:color w:val="FF0000"/>
          <w:lang w:val="en-GB"/>
        </w:rPr>
        <w:drawing>
          <wp:inline distT="0" distB="0" distL="0" distR="0" wp14:anchorId="1E66CEC5" wp14:editId="69172046">
            <wp:extent cx="1600381" cy="87359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undation Logo Black on Transparent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2697" cy="885778"/>
                    </a:xfrm>
                    <a:prstGeom prst="rect">
                      <a:avLst/>
                    </a:prstGeom>
                  </pic:spPr>
                </pic:pic>
              </a:graphicData>
            </a:graphic>
          </wp:inline>
        </w:drawing>
      </w:r>
    </w:p>
    <w:p w:rsidR="00166EF1" w:rsidRPr="000633D4" w:rsidRDefault="00166EF1" w:rsidP="00A26FCB">
      <w:pPr>
        <w:pStyle w:val="Body"/>
        <w:jc w:val="center"/>
        <w:rPr>
          <w:rFonts w:asciiTheme="minorHAnsi" w:hAnsiTheme="minorHAnsi" w:cstheme="minorHAnsi"/>
          <w:color w:val="FF0000"/>
        </w:rPr>
      </w:pPr>
    </w:p>
    <w:p w:rsidR="00166EF1" w:rsidRPr="000633D4" w:rsidRDefault="00C0263E" w:rsidP="000633D4">
      <w:pPr>
        <w:pStyle w:val="Body"/>
        <w:jc w:val="right"/>
        <w:rPr>
          <w:rFonts w:asciiTheme="minorHAnsi" w:eastAsiaTheme="minorHAnsi" w:hAnsiTheme="minorHAnsi" w:cstheme="minorHAnsi"/>
          <w:b/>
          <w:color w:val="auto"/>
          <w:bdr w:val="none" w:sz="0" w:space="0" w:color="auto"/>
          <w:lang w:val="en-GB" w:eastAsia="en-US"/>
        </w:rPr>
      </w:pPr>
      <w:r w:rsidRPr="000633D4">
        <w:rPr>
          <w:rFonts w:asciiTheme="minorHAnsi" w:hAnsiTheme="minorHAnsi" w:cstheme="minorHAnsi"/>
          <w:color w:val="FF0000"/>
        </w:rPr>
        <w:tab/>
      </w:r>
      <w:r w:rsidRPr="000633D4">
        <w:rPr>
          <w:rFonts w:asciiTheme="minorHAnsi" w:hAnsiTheme="minorHAnsi" w:cstheme="minorHAnsi"/>
          <w:color w:val="FF0000"/>
        </w:rPr>
        <w:tab/>
      </w:r>
      <w:r w:rsidRPr="000633D4">
        <w:rPr>
          <w:rFonts w:asciiTheme="minorHAnsi" w:hAnsiTheme="minorHAnsi" w:cstheme="minorHAnsi"/>
          <w:color w:val="FF0000"/>
        </w:rPr>
        <w:tab/>
      </w:r>
      <w:r w:rsidR="00166EF1" w:rsidRPr="000633D4">
        <w:rPr>
          <w:rFonts w:asciiTheme="minorHAnsi" w:eastAsiaTheme="minorHAnsi" w:hAnsiTheme="minorHAnsi" w:cstheme="minorHAnsi"/>
          <w:b/>
          <w:color w:val="auto"/>
          <w:bdr w:val="none" w:sz="0" w:space="0" w:color="auto"/>
          <w:lang w:val="en-GB" w:eastAsia="en-US"/>
        </w:rPr>
        <w:t xml:space="preserve">FOR INTERMEDIARIES ONLY </w:t>
      </w:r>
    </w:p>
    <w:p w:rsidR="00A32171" w:rsidRPr="000633D4" w:rsidRDefault="001431DC" w:rsidP="00A26FCB">
      <w:pPr>
        <w:spacing w:after="0" w:line="240" w:lineRule="auto"/>
        <w:rPr>
          <w:rFonts w:cstheme="minorHAnsi"/>
          <w:color w:val="FF0000"/>
        </w:rPr>
      </w:pPr>
    </w:p>
    <w:p w:rsidR="00A26FCB" w:rsidRDefault="00A26FCB" w:rsidP="004E171F">
      <w:pPr>
        <w:pStyle w:val="Body"/>
        <w:spacing w:after="120"/>
        <w:rPr>
          <w:rFonts w:asciiTheme="minorHAnsi" w:hAnsiTheme="minorHAnsi" w:cstheme="minorHAnsi"/>
        </w:rPr>
      </w:pPr>
    </w:p>
    <w:p w:rsidR="00D97B84" w:rsidRPr="00D97B84" w:rsidRDefault="00D97B84" w:rsidP="00D97B84">
      <w:pPr>
        <w:pStyle w:val="Heading1"/>
        <w:shd w:val="clear" w:color="auto" w:fill="FFFFFF"/>
        <w:spacing w:before="0" w:after="300"/>
        <w:jc w:val="center"/>
        <w:rPr>
          <w:rFonts w:asciiTheme="minorHAnsi" w:eastAsiaTheme="minorHAnsi" w:hAnsiTheme="minorHAnsi" w:cstheme="minorHAnsi"/>
          <w:b/>
          <w:color w:val="auto"/>
          <w:u w:color="000000"/>
        </w:rPr>
      </w:pPr>
      <w:r w:rsidRPr="00D97B84">
        <w:rPr>
          <w:rFonts w:asciiTheme="minorHAnsi" w:eastAsiaTheme="minorHAnsi" w:hAnsiTheme="minorHAnsi" w:cstheme="minorHAnsi"/>
          <w:b/>
          <w:color w:val="auto"/>
          <w:u w:color="000000"/>
        </w:rPr>
        <w:t xml:space="preserve">High net worth </w:t>
      </w:r>
      <w:proofErr w:type="spellStart"/>
      <w:r w:rsidRPr="00D97B84">
        <w:rPr>
          <w:rFonts w:asciiTheme="minorHAnsi" w:eastAsiaTheme="minorHAnsi" w:hAnsiTheme="minorHAnsi" w:cstheme="minorHAnsi"/>
          <w:b/>
          <w:color w:val="auto"/>
          <w:u w:color="000000"/>
        </w:rPr>
        <w:t>self employed</w:t>
      </w:r>
      <w:proofErr w:type="spellEnd"/>
      <w:r w:rsidRPr="00D97B84">
        <w:rPr>
          <w:rFonts w:asciiTheme="minorHAnsi" w:eastAsiaTheme="minorHAnsi" w:hAnsiTheme="minorHAnsi" w:cstheme="minorHAnsi"/>
          <w:b/>
          <w:color w:val="auto"/>
          <w:u w:color="000000"/>
        </w:rPr>
        <w:t xml:space="preserve"> clients missing out on high street borrowing</w:t>
      </w:r>
      <w:r>
        <w:rPr>
          <w:rFonts w:asciiTheme="minorHAnsi" w:eastAsiaTheme="minorHAnsi" w:hAnsiTheme="minorHAnsi" w:cstheme="minorHAnsi"/>
          <w:b/>
          <w:color w:val="auto"/>
          <w:u w:color="000000"/>
        </w:rPr>
        <w:t>?</w:t>
      </w:r>
    </w:p>
    <w:p w:rsidR="00D97B84" w:rsidRPr="00D97B84" w:rsidRDefault="00D97B84" w:rsidP="00D97B84">
      <w:pPr>
        <w:pStyle w:val="NormalWeb"/>
        <w:shd w:val="clear" w:color="auto" w:fill="FFFFFF"/>
        <w:spacing w:before="0" w:beforeAutospacing="0" w:after="300" w:afterAutospacing="0"/>
        <w:rPr>
          <w:rFonts w:asciiTheme="minorHAnsi" w:eastAsiaTheme="minorHAnsi" w:hAnsiTheme="minorHAnsi" w:cstheme="minorHAnsi"/>
          <w:sz w:val="22"/>
          <w:szCs w:val="22"/>
          <w:u w:color="000000"/>
          <w:lang w:eastAsia="en-US"/>
        </w:rPr>
      </w:pPr>
      <w:r w:rsidRPr="00D97B84">
        <w:rPr>
          <w:rFonts w:asciiTheme="minorHAnsi" w:eastAsiaTheme="minorHAnsi" w:hAnsiTheme="minorHAnsi" w:cstheme="minorHAnsi"/>
          <w:sz w:val="22"/>
          <w:szCs w:val="22"/>
          <w:u w:color="000000"/>
          <w:lang w:eastAsia="en-US"/>
        </w:rPr>
        <w:t>With the majority of 2020 and the early part of 2021 having a significant impact on many individuals’ income and financial situations, we anticipate that the self-employed particularly will require specialist residential finance going forward, whose propensity for complex income structures often throws them out of mainstream lending criteria.</w:t>
      </w:r>
    </w:p>
    <w:p w:rsidR="00D97B84" w:rsidRPr="00D97B84" w:rsidRDefault="00D97B84" w:rsidP="00D97B84">
      <w:pPr>
        <w:shd w:val="clear" w:color="auto" w:fill="FFFFFF"/>
        <w:rPr>
          <w:rFonts w:cstheme="minorHAnsi"/>
          <w:u w:color="000000"/>
        </w:rPr>
      </w:pPr>
    </w:p>
    <w:p w:rsidR="00D97B84" w:rsidRPr="00D97B84" w:rsidRDefault="00D97B84" w:rsidP="00D97B84">
      <w:pPr>
        <w:pStyle w:val="NormalWeb"/>
        <w:shd w:val="clear" w:color="auto" w:fill="FFFFFF"/>
        <w:spacing w:before="0" w:beforeAutospacing="0" w:after="300" w:afterAutospacing="0"/>
        <w:rPr>
          <w:rFonts w:asciiTheme="minorHAnsi" w:eastAsiaTheme="minorHAnsi" w:hAnsiTheme="minorHAnsi" w:cstheme="minorHAnsi"/>
          <w:sz w:val="22"/>
          <w:szCs w:val="22"/>
          <w:u w:color="000000"/>
          <w:lang w:eastAsia="en-US"/>
        </w:rPr>
      </w:pPr>
      <w:r w:rsidRPr="00D97B84">
        <w:rPr>
          <w:rFonts w:asciiTheme="minorHAnsi" w:eastAsiaTheme="minorHAnsi" w:hAnsiTheme="minorHAnsi" w:cstheme="minorHAnsi"/>
          <w:sz w:val="22"/>
          <w:szCs w:val="22"/>
          <w:u w:color="000000"/>
          <w:lang w:eastAsia="en-US"/>
        </w:rPr>
        <w:t>When you see national media headlines like </w:t>
      </w:r>
      <w:r w:rsidRPr="00D97B84">
        <w:rPr>
          <w:rFonts w:asciiTheme="minorHAnsi" w:eastAsiaTheme="minorHAnsi" w:hAnsiTheme="minorHAnsi" w:cstheme="minorHAnsi"/>
          <w:i/>
          <w:iCs/>
          <w:sz w:val="22"/>
          <w:szCs w:val="22"/>
          <w:u w:color="000000"/>
          <w:lang w:eastAsia="en-US"/>
        </w:rPr>
        <w:t>‘</w:t>
      </w:r>
      <w:hyperlink r:id="rId6" w:history="1">
        <w:r w:rsidRPr="00D97B84">
          <w:rPr>
            <w:rFonts w:asciiTheme="minorHAnsi" w:eastAsiaTheme="minorHAnsi" w:hAnsiTheme="minorHAnsi" w:cstheme="minorHAnsi"/>
            <w:i/>
            <w:iCs/>
            <w:sz w:val="22"/>
            <w:szCs w:val="22"/>
            <w:u w:color="000000"/>
            <w:lang w:eastAsia="en-US"/>
          </w:rPr>
          <w:t>Money lenders shun the self</w:t>
        </w:r>
        <w:r w:rsidRPr="00D97B84">
          <w:rPr>
            <w:rFonts w:asciiTheme="minorHAnsi" w:eastAsiaTheme="minorHAnsi" w:hAnsiTheme="minorHAnsi" w:cstheme="minorHAnsi"/>
            <w:i/>
            <w:iCs/>
            <w:sz w:val="22"/>
            <w:szCs w:val="22"/>
            <w:u w:color="000000"/>
            <w:lang w:eastAsia="en-US"/>
          </w:rPr>
          <w:noBreakHyphen/>
          <w:t>employed for being too complex and too risk</w:t>
        </w:r>
      </w:hyperlink>
      <w:r w:rsidRPr="00D97B84">
        <w:rPr>
          <w:rFonts w:asciiTheme="minorHAnsi" w:eastAsiaTheme="minorHAnsi" w:hAnsiTheme="minorHAnsi" w:cstheme="minorHAnsi"/>
          <w:i/>
          <w:iCs/>
          <w:sz w:val="22"/>
          <w:szCs w:val="22"/>
          <w:u w:color="000000"/>
          <w:lang w:eastAsia="en-US"/>
        </w:rPr>
        <w:t>’</w:t>
      </w:r>
      <w:r w:rsidRPr="00D97B84">
        <w:rPr>
          <w:rFonts w:asciiTheme="minorHAnsi" w:eastAsiaTheme="minorHAnsi" w:hAnsiTheme="minorHAnsi" w:cstheme="minorHAnsi"/>
          <w:sz w:val="22"/>
          <w:szCs w:val="22"/>
          <w:u w:color="000000"/>
          <w:lang w:eastAsia="en-US"/>
        </w:rPr>
        <w:t> it’s clear that complex income poses challenges when it comes to securing a mortgage.</w:t>
      </w:r>
    </w:p>
    <w:p w:rsidR="00D97B84" w:rsidRPr="00D97B84" w:rsidRDefault="00D97B84" w:rsidP="00D97B84">
      <w:pPr>
        <w:pStyle w:val="NormalWeb"/>
        <w:shd w:val="clear" w:color="auto" w:fill="FFFFFF"/>
        <w:spacing w:before="0" w:beforeAutospacing="0" w:after="300" w:afterAutospacing="0"/>
        <w:rPr>
          <w:rFonts w:asciiTheme="minorHAnsi" w:eastAsiaTheme="minorHAnsi" w:hAnsiTheme="minorHAnsi" w:cstheme="minorHAnsi"/>
          <w:sz w:val="22"/>
          <w:szCs w:val="22"/>
          <w:u w:color="000000"/>
          <w:lang w:eastAsia="en-US"/>
        </w:rPr>
      </w:pPr>
      <w:r w:rsidRPr="00D97B84">
        <w:rPr>
          <w:rFonts w:asciiTheme="minorHAnsi" w:eastAsiaTheme="minorHAnsi" w:hAnsiTheme="minorHAnsi" w:cstheme="minorHAnsi"/>
          <w:sz w:val="22"/>
          <w:szCs w:val="22"/>
          <w:u w:color="000000"/>
          <w:lang w:eastAsia="en-US"/>
        </w:rPr>
        <w:t>And the issue is certainly not reserved to borrowers in the lower income range. In fact, data suggests that the higher net worth individuals are seeing increasingly higher levels of delay and rejection in their mortgage applications. When focusing on high-net-worth individuals (HNWIs), </w:t>
      </w:r>
      <w:hyperlink r:id="rId7" w:history="1">
        <w:r w:rsidRPr="00D97B84">
          <w:rPr>
            <w:rFonts w:asciiTheme="minorHAnsi" w:eastAsiaTheme="minorHAnsi" w:hAnsiTheme="minorHAnsi" w:cstheme="minorHAnsi"/>
            <w:sz w:val="22"/>
            <w:szCs w:val="22"/>
            <w:u w:color="000000"/>
            <w:lang w:eastAsia="en-US"/>
          </w:rPr>
          <w:t>research from Butterfield Mortgages</w:t>
        </w:r>
      </w:hyperlink>
      <w:r w:rsidRPr="00D97B84">
        <w:rPr>
          <w:rFonts w:asciiTheme="minorHAnsi" w:eastAsiaTheme="minorHAnsi" w:hAnsiTheme="minorHAnsi" w:cstheme="minorHAnsi"/>
          <w:sz w:val="22"/>
          <w:szCs w:val="22"/>
          <w:u w:color="000000"/>
          <w:lang w:eastAsia="en-US"/>
        </w:rPr>
        <w:t> suggested that a fifth (18%) of the HNWIs surveyed had been rejected for a mortgage in the last ten years, which is 6% higher than similar survey results in 2019. Of the HNWIs who have successfully or unsuccessfully applied for a mortgage in the last 10 years, 51% said they had at some point been turned down.</w:t>
      </w:r>
    </w:p>
    <w:p w:rsidR="00D97B84" w:rsidRPr="00D97B84" w:rsidRDefault="00D97B84" w:rsidP="00D97B84">
      <w:pPr>
        <w:pStyle w:val="NormalWeb"/>
        <w:shd w:val="clear" w:color="auto" w:fill="FFFFFF"/>
        <w:spacing w:before="0" w:beforeAutospacing="0" w:after="300" w:afterAutospacing="0"/>
        <w:rPr>
          <w:rFonts w:asciiTheme="minorHAnsi" w:eastAsiaTheme="minorHAnsi" w:hAnsiTheme="minorHAnsi" w:cstheme="minorHAnsi"/>
          <w:sz w:val="22"/>
          <w:szCs w:val="22"/>
          <w:u w:color="000000"/>
          <w:lang w:eastAsia="en-US"/>
        </w:rPr>
      </w:pPr>
      <w:r w:rsidRPr="00D97B84">
        <w:rPr>
          <w:rFonts w:asciiTheme="minorHAnsi" w:eastAsiaTheme="minorHAnsi" w:hAnsiTheme="minorHAnsi" w:cstheme="minorHAnsi"/>
          <w:b/>
          <w:bCs/>
          <w:sz w:val="22"/>
          <w:szCs w:val="22"/>
          <w:u w:color="000000"/>
          <w:lang w:eastAsia="en-US"/>
        </w:rPr>
        <w:t>So why would these individuals be rejected?</w:t>
      </w:r>
    </w:p>
    <w:p w:rsidR="00D97B84" w:rsidRPr="00D97B84" w:rsidRDefault="00D97B84" w:rsidP="00D97B84">
      <w:pPr>
        <w:pStyle w:val="NormalWeb"/>
        <w:shd w:val="clear" w:color="auto" w:fill="FFFFFF"/>
        <w:spacing w:before="0" w:beforeAutospacing="0" w:after="300" w:afterAutospacing="0"/>
        <w:rPr>
          <w:rFonts w:asciiTheme="minorHAnsi" w:eastAsiaTheme="minorHAnsi" w:hAnsiTheme="minorHAnsi" w:cstheme="minorHAnsi"/>
          <w:sz w:val="22"/>
          <w:szCs w:val="22"/>
          <w:u w:color="000000"/>
          <w:lang w:eastAsia="en-US"/>
        </w:rPr>
      </w:pPr>
      <w:r w:rsidRPr="00D97B84">
        <w:rPr>
          <w:rFonts w:asciiTheme="minorHAnsi" w:eastAsiaTheme="minorHAnsi" w:hAnsiTheme="minorHAnsi" w:cstheme="minorHAnsi"/>
          <w:sz w:val="22"/>
          <w:szCs w:val="22"/>
          <w:u w:color="000000"/>
          <w:lang w:eastAsia="en-US"/>
        </w:rPr>
        <w:t>63% of HNWIs said they had trouble securing credit because of their complicated income structures which are not simple monthly pay cheques. This is in comparison to a national average of 42%. 78% of HNWIs believe that banks lean too heavily on “rigid 'tick box' methods”.</w:t>
      </w:r>
    </w:p>
    <w:p w:rsidR="00D97B84" w:rsidRPr="00924940" w:rsidRDefault="00924940" w:rsidP="00D97B84">
      <w:pPr>
        <w:pStyle w:val="NormalWeb"/>
        <w:shd w:val="clear" w:color="auto" w:fill="FFFFFF"/>
        <w:spacing w:before="0" w:beforeAutospacing="0" w:after="300" w:afterAutospacing="0"/>
        <w:rPr>
          <w:rStyle w:val="Hyperlink"/>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u w:color="000000"/>
          <w:lang w:eastAsia="en-US"/>
        </w:rPr>
        <w:fldChar w:fldCharType="begin"/>
      </w:r>
      <w:r w:rsidR="00AF3BD6">
        <w:rPr>
          <w:rFonts w:asciiTheme="minorHAnsi" w:eastAsiaTheme="minorHAnsi" w:hAnsiTheme="minorHAnsi" w:cstheme="minorHAnsi"/>
          <w:sz w:val="22"/>
          <w:szCs w:val="22"/>
          <w:u w:color="000000"/>
          <w:lang w:eastAsia="en-US"/>
        </w:rPr>
        <w:instrText>HYPERLINK "https://www.foundationforintermediaries.co.uk/residential/affordability-calculator/?utm_source=tma&amp;utm_medium=partner-article&amp;utm_campaign=high-net-worth-april-2021"</w:instrText>
      </w:r>
      <w:r>
        <w:rPr>
          <w:rFonts w:asciiTheme="minorHAnsi" w:eastAsiaTheme="minorHAnsi" w:hAnsiTheme="minorHAnsi" w:cstheme="minorHAnsi"/>
          <w:sz w:val="22"/>
          <w:szCs w:val="22"/>
          <w:u w:color="000000"/>
          <w:lang w:eastAsia="en-US"/>
        </w:rPr>
        <w:fldChar w:fldCharType="separate"/>
      </w:r>
      <w:r w:rsidR="00D97B84" w:rsidRPr="00924940">
        <w:rPr>
          <w:rStyle w:val="Hyperlink"/>
          <w:rFonts w:asciiTheme="minorHAnsi" w:eastAsiaTheme="minorHAnsi" w:hAnsiTheme="minorHAnsi" w:cstheme="minorHAnsi"/>
          <w:sz w:val="22"/>
          <w:szCs w:val="22"/>
          <w:lang w:eastAsia="en-US"/>
        </w:rPr>
        <w:t>Try our income calculator here</w:t>
      </w:r>
    </w:p>
    <w:p w:rsidR="00D97B84" w:rsidRPr="00D97B84" w:rsidRDefault="00924940" w:rsidP="00D97B84">
      <w:pPr>
        <w:pStyle w:val="NormalWeb"/>
        <w:shd w:val="clear" w:color="auto" w:fill="FFFFFF"/>
        <w:spacing w:before="0" w:beforeAutospacing="0" w:after="300" w:afterAutospacing="0"/>
        <w:rPr>
          <w:rFonts w:asciiTheme="minorHAnsi" w:eastAsiaTheme="minorHAnsi" w:hAnsiTheme="minorHAnsi" w:cstheme="minorHAnsi"/>
          <w:sz w:val="22"/>
          <w:szCs w:val="22"/>
          <w:u w:color="000000"/>
          <w:lang w:eastAsia="en-US"/>
        </w:rPr>
      </w:pPr>
      <w:r>
        <w:rPr>
          <w:rFonts w:asciiTheme="minorHAnsi" w:eastAsiaTheme="minorHAnsi" w:hAnsiTheme="minorHAnsi" w:cstheme="minorHAnsi"/>
          <w:sz w:val="22"/>
          <w:szCs w:val="22"/>
          <w:u w:color="000000"/>
          <w:lang w:eastAsia="en-US"/>
        </w:rPr>
        <w:fldChar w:fldCharType="end"/>
      </w:r>
      <w:r w:rsidR="00D97B84" w:rsidRPr="00D97B84">
        <w:rPr>
          <w:rFonts w:asciiTheme="minorHAnsi" w:eastAsiaTheme="minorHAnsi" w:hAnsiTheme="minorHAnsi" w:cstheme="minorHAnsi"/>
          <w:sz w:val="22"/>
          <w:szCs w:val="22"/>
          <w:u w:color="000000"/>
          <w:lang w:eastAsia="en-US"/>
        </w:rPr>
        <w:t>More than a third (35%) of individuals in the UK have made mortgage applications in the last ten years said it has taken three months or more before they have heard back on whether their application was successful or not. This figure jumped to almost three fifths (58%) for those with investments worth over £100,000. Consequently, 62% of HNWIs have “lost confidence in high street banks’ ability to cater for the needs of property investors and buy to let landlords”.</w:t>
      </w:r>
    </w:p>
    <w:p w:rsidR="00D97B84" w:rsidRPr="00D97B84" w:rsidRDefault="00D97B84" w:rsidP="00D97B84">
      <w:pPr>
        <w:pStyle w:val="NormalWeb"/>
        <w:shd w:val="clear" w:color="auto" w:fill="FFFFFF"/>
        <w:spacing w:before="0" w:beforeAutospacing="0" w:after="300" w:afterAutospacing="0"/>
        <w:rPr>
          <w:rFonts w:asciiTheme="minorHAnsi" w:eastAsiaTheme="minorHAnsi" w:hAnsiTheme="minorHAnsi" w:cstheme="minorHAnsi"/>
          <w:sz w:val="22"/>
          <w:szCs w:val="22"/>
          <w:u w:color="000000"/>
          <w:lang w:eastAsia="en-US"/>
        </w:rPr>
      </w:pPr>
      <w:r w:rsidRPr="00D97B84">
        <w:rPr>
          <w:rFonts w:asciiTheme="minorHAnsi" w:eastAsiaTheme="minorHAnsi" w:hAnsiTheme="minorHAnsi" w:cstheme="minorHAnsi"/>
          <w:sz w:val="22"/>
          <w:szCs w:val="22"/>
          <w:u w:color="000000"/>
          <w:lang w:eastAsia="en-US"/>
        </w:rPr>
        <w:t>We specialise in </w:t>
      </w:r>
      <w:hyperlink r:id="rId8" w:history="1">
        <w:r w:rsidRPr="00D97B84">
          <w:rPr>
            <w:rFonts w:asciiTheme="minorHAnsi" w:eastAsiaTheme="minorHAnsi" w:hAnsiTheme="minorHAnsi" w:cstheme="minorHAnsi"/>
            <w:sz w:val="22"/>
            <w:szCs w:val="22"/>
            <w:u w:color="000000"/>
            <w:lang w:eastAsia="en-US"/>
          </w:rPr>
          <w:t>mortgages for borrowers with multiple income sources</w:t>
        </w:r>
      </w:hyperlink>
      <w:r w:rsidRPr="00D97B84">
        <w:rPr>
          <w:rFonts w:asciiTheme="minorHAnsi" w:eastAsiaTheme="minorHAnsi" w:hAnsiTheme="minorHAnsi" w:cstheme="minorHAnsi"/>
          <w:sz w:val="22"/>
          <w:szCs w:val="22"/>
          <w:u w:color="000000"/>
          <w:lang w:eastAsia="en-US"/>
        </w:rPr>
        <w:t> including those who have recently become self-employed and employed people with high commission and/or bonus. We have one of the broadest income allowances of any lender, allowing advisers to use </w:t>
      </w:r>
      <w:hyperlink r:id="rId9" w:history="1">
        <w:r w:rsidRPr="00D97B84">
          <w:rPr>
            <w:rFonts w:asciiTheme="minorHAnsi" w:eastAsiaTheme="minorHAnsi" w:hAnsiTheme="minorHAnsi" w:cstheme="minorHAnsi"/>
            <w:sz w:val="22"/>
            <w:szCs w:val="22"/>
            <w:u w:color="000000"/>
            <w:lang w:eastAsia="en-US"/>
          </w:rPr>
          <w:t>100% of an extremely wide range of income types</w:t>
        </w:r>
      </w:hyperlink>
      <w:r w:rsidRPr="00D97B84">
        <w:rPr>
          <w:rFonts w:asciiTheme="minorHAnsi" w:eastAsiaTheme="minorHAnsi" w:hAnsiTheme="minorHAnsi" w:cstheme="minorHAnsi"/>
          <w:sz w:val="22"/>
          <w:szCs w:val="22"/>
          <w:u w:color="000000"/>
          <w:lang w:eastAsia="en-US"/>
        </w:rPr>
        <w:t xml:space="preserve"> for their residential clients. We accept retained profits and one year's </w:t>
      </w:r>
      <w:r w:rsidRPr="00D97B84">
        <w:rPr>
          <w:rFonts w:asciiTheme="minorHAnsi" w:eastAsiaTheme="minorHAnsi" w:hAnsiTheme="minorHAnsi" w:cstheme="minorHAnsi"/>
          <w:sz w:val="22"/>
          <w:szCs w:val="22"/>
          <w:u w:color="000000"/>
          <w:lang w:eastAsia="en-US"/>
        </w:rPr>
        <w:lastRenderedPageBreak/>
        <w:t>accounts for the self-employed and for the employed, we only require people to have been in employment for a minimum of three months.</w:t>
      </w:r>
    </w:p>
    <w:p w:rsidR="00D97B84" w:rsidRPr="00924940" w:rsidRDefault="00D97B84" w:rsidP="00D97B84">
      <w:pPr>
        <w:pStyle w:val="NormalWeb"/>
        <w:shd w:val="clear" w:color="auto" w:fill="FFFFFF"/>
        <w:spacing w:before="0" w:beforeAutospacing="0" w:after="300" w:afterAutospacing="0"/>
        <w:rPr>
          <w:rStyle w:val="Hyperlink"/>
          <w:rFonts w:asciiTheme="minorHAnsi" w:eastAsiaTheme="minorHAnsi" w:hAnsiTheme="minorHAnsi" w:cstheme="minorHAnsi"/>
          <w:sz w:val="22"/>
          <w:szCs w:val="22"/>
          <w:lang w:eastAsia="en-US"/>
        </w:rPr>
      </w:pPr>
      <w:r w:rsidRPr="00D97B84">
        <w:rPr>
          <w:rFonts w:asciiTheme="minorHAnsi" w:eastAsiaTheme="minorHAnsi" w:hAnsiTheme="minorHAnsi" w:cstheme="minorHAnsi"/>
          <w:sz w:val="22"/>
          <w:szCs w:val="22"/>
          <w:u w:color="000000"/>
          <w:lang w:eastAsia="en-US"/>
        </w:rPr>
        <w:t>Got a client with multiple income sources? </w:t>
      </w:r>
      <w:r w:rsidR="00924940">
        <w:rPr>
          <w:rFonts w:asciiTheme="minorHAnsi" w:eastAsiaTheme="minorHAnsi" w:hAnsiTheme="minorHAnsi" w:cstheme="minorHAnsi"/>
          <w:sz w:val="22"/>
          <w:szCs w:val="22"/>
          <w:u w:color="000000"/>
          <w:lang w:eastAsia="en-US"/>
        </w:rPr>
        <w:fldChar w:fldCharType="begin"/>
      </w:r>
      <w:r w:rsidR="00AF3BD6">
        <w:rPr>
          <w:rFonts w:asciiTheme="minorHAnsi" w:eastAsiaTheme="minorHAnsi" w:hAnsiTheme="minorHAnsi" w:cstheme="minorHAnsi"/>
          <w:sz w:val="22"/>
          <w:szCs w:val="22"/>
          <w:u w:color="000000"/>
          <w:lang w:eastAsia="en-US"/>
        </w:rPr>
        <w:instrText>HYPERLINK "https://www.foundationforintermediaries.co.uk/residential/affordability-calculator/?utm_source=tma&amp;utm_medium=partner-article&amp;utm_campaign=high-net-worth-april-2021" \o "Affordability Calculator"</w:instrText>
      </w:r>
      <w:r w:rsidR="00924940">
        <w:rPr>
          <w:rFonts w:asciiTheme="minorHAnsi" w:eastAsiaTheme="minorHAnsi" w:hAnsiTheme="minorHAnsi" w:cstheme="minorHAnsi"/>
          <w:sz w:val="22"/>
          <w:szCs w:val="22"/>
          <w:u w:color="000000"/>
          <w:lang w:eastAsia="en-US"/>
        </w:rPr>
        <w:fldChar w:fldCharType="separate"/>
      </w:r>
      <w:r w:rsidRPr="00924940">
        <w:rPr>
          <w:rStyle w:val="Hyperlink"/>
          <w:rFonts w:asciiTheme="minorHAnsi" w:eastAsiaTheme="minorHAnsi" w:hAnsiTheme="minorHAnsi" w:cstheme="minorHAnsi"/>
          <w:sz w:val="22"/>
          <w:szCs w:val="22"/>
          <w:lang w:eastAsia="en-US"/>
        </w:rPr>
        <w:t>Try our calculator now.</w:t>
      </w:r>
    </w:p>
    <w:p w:rsidR="000633D4" w:rsidRPr="00E22DDF" w:rsidRDefault="00924940" w:rsidP="004E171F">
      <w:pPr>
        <w:pStyle w:val="Body"/>
        <w:spacing w:after="120"/>
        <w:rPr>
          <w:rFonts w:asciiTheme="minorHAnsi" w:hAnsiTheme="minorHAnsi" w:cstheme="minorHAnsi"/>
          <w:noProof/>
        </w:rPr>
      </w:pPr>
      <w:r>
        <w:rPr>
          <w:rFonts w:asciiTheme="minorHAnsi" w:eastAsiaTheme="minorHAnsi" w:hAnsiTheme="minorHAnsi" w:cstheme="minorHAnsi"/>
          <w:color w:val="auto"/>
          <w:bdr w:val="none" w:sz="0" w:space="0" w:color="auto"/>
          <w:lang w:val="en-GB" w:eastAsia="en-US"/>
        </w:rPr>
        <w:fldChar w:fldCharType="end"/>
      </w:r>
    </w:p>
    <w:p w:rsidR="003C7AA1" w:rsidRPr="00E22DDF" w:rsidRDefault="003C7AA1" w:rsidP="004E171F">
      <w:pPr>
        <w:pStyle w:val="Body"/>
        <w:spacing w:after="120"/>
        <w:jc w:val="center"/>
        <w:rPr>
          <w:rFonts w:asciiTheme="minorHAnsi" w:eastAsiaTheme="minorHAnsi" w:hAnsiTheme="minorHAnsi" w:cstheme="minorHAnsi"/>
          <w:b/>
          <w:color w:val="auto"/>
          <w:bdr w:val="none" w:sz="0" w:space="0" w:color="auto"/>
          <w:lang w:val="en-GB" w:eastAsia="en-US"/>
        </w:rPr>
      </w:pPr>
      <w:r w:rsidRPr="00E22DDF">
        <w:rPr>
          <w:rFonts w:asciiTheme="minorHAnsi" w:eastAsiaTheme="minorHAnsi" w:hAnsiTheme="minorHAnsi" w:cstheme="minorHAnsi"/>
          <w:b/>
          <w:color w:val="auto"/>
          <w:bdr w:val="none" w:sz="0" w:space="0" w:color="auto"/>
          <w:lang w:val="en-GB" w:eastAsia="en-US"/>
        </w:rPr>
        <w:t xml:space="preserve">FOR INTERMEDIARIES ONLY </w:t>
      </w:r>
    </w:p>
    <w:p w:rsidR="00C95908" w:rsidRPr="00E22DDF" w:rsidRDefault="003C7AA1" w:rsidP="002C30F6">
      <w:pPr>
        <w:pStyle w:val="Body"/>
        <w:spacing w:after="120"/>
        <w:jc w:val="center"/>
        <w:rPr>
          <w:rFonts w:asciiTheme="minorHAnsi" w:hAnsiTheme="minorHAnsi" w:cstheme="minorHAnsi"/>
        </w:rPr>
      </w:pPr>
      <w:r w:rsidRPr="00E22DDF">
        <w:rPr>
          <w:rFonts w:asciiTheme="minorHAnsi" w:eastAsiaTheme="minorHAnsi" w:hAnsiTheme="minorHAnsi" w:cstheme="minorHAnsi"/>
          <w:color w:val="auto"/>
          <w:bdr w:val="none" w:sz="0" w:space="0" w:color="auto"/>
          <w:lang w:val="en-GB" w:eastAsia="en-US"/>
        </w:rPr>
        <w:t>© 2018 Foundation Home Loans is a trading style of Paratus AMC Limited. Registered Office: No.5 Arlington Square, Downshire Way, Bracknell, Berkshire RG12 1WA. Registered in England with Company No. 3489004. Paratus AMC Limited is authorised and regulated by the Financial Conduct Authority. Our registration number is 301128. Buy to let mortgages are not regulated by the Financial Conduct Authority. Calls may be monitored and recorded.</w:t>
      </w:r>
    </w:p>
    <w:p w:rsidR="00166EF1" w:rsidRPr="00E22DDF" w:rsidRDefault="00166EF1" w:rsidP="00E22DDF">
      <w:pPr>
        <w:spacing w:after="120" w:line="240" w:lineRule="auto"/>
        <w:rPr>
          <w:rFonts w:cstheme="minorHAnsi"/>
        </w:rPr>
      </w:pPr>
    </w:p>
    <w:sectPr w:rsidR="00166EF1" w:rsidRPr="00E22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1056"/>
    <w:multiLevelType w:val="hybridMultilevel"/>
    <w:tmpl w:val="B1DC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94235"/>
    <w:multiLevelType w:val="hybridMultilevel"/>
    <w:tmpl w:val="49EA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75B5F"/>
    <w:multiLevelType w:val="hybridMultilevel"/>
    <w:tmpl w:val="920202AA"/>
    <w:lvl w:ilvl="0" w:tplc="1C9A82DC">
      <w:numFmt w:val="bullet"/>
      <w:lvlText w:val=""/>
      <w:lvlJc w:val="left"/>
      <w:pPr>
        <w:ind w:left="720" w:hanging="360"/>
      </w:pPr>
      <w:rPr>
        <w:rFonts w:ascii="Symbol" w:eastAsiaTheme="minorHAnsi"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3085F"/>
    <w:multiLevelType w:val="hybridMultilevel"/>
    <w:tmpl w:val="B638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57C9D"/>
    <w:multiLevelType w:val="hybridMultilevel"/>
    <w:tmpl w:val="E35AB26A"/>
    <w:lvl w:ilvl="0" w:tplc="1C9A82DC">
      <w:numFmt w:val="bullet"/>
      <w:lvlText w:val=""/>
      <w:lvlJc w:val="left"/>
      <w:pPr>
        <w:ind w:left="720" w:hanging="360"/>
      </w:pPr>
      <w:rPr>
        <w:rFonts w:ascii="Symbol" w:eastAsiaTheme="minorHAnsi"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B456D"/>
    <w:multiLevelType w:val="hybridMultilevel"/>
    <w:tmpl w:val="3BE2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83FC9"/>
    <w:multiLevelType w:val="hybridMultilevel"/>
    <w:tmpl w:val="6C12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52528"/>
    <w:multiLevelType w:val="hybridMultilevel"/>
    <w:tmpl w:val="57F8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46678"/>
    <w:multiLevelType w:val="hybridMultilevel"/>
    <w:tmpl w:val="913401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D020FA8"/>
    <w:multiLevelType w:val="hybridMultilevel"/>
    <w:tmpl w:val="12B6196A"/>
    <w:lvl w:ilvl="0" w:tplc="0958E14E">
      <w:start w:val="1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078C2"/>
    <w:multiLevelType w:val="hybridMultilevel"/>
    <w:tmpl w:val="EA6A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41637"/>
    <w:multiLevelType w:val="hybridMultilevel"/>
    <w:tmpl w:val="7256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50D50"/>
    <w:multiLevelType w:val="hybridMultilevel"/>
    <w:tmpl w:val="F4E2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F5B2BFF"/>
    <w:multiLevelType w:val="hybridMultilevel"/>
    <w:tmpl w:val="2B82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4F3375"/>
    <w:multiLevelType w:val="hybridMultilevel"/>
    <w:tmpl w:val="7818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D1032"/>
    <w:multiLevelType w:val="hybridMultilevel"/>
    <w:tmpl w:val="1A30179E"/>
    <w:lvl w:ilvl="0" w:tplc="08090001">
      <w:start w:val="1"/>
      <w:numFmt w:val="bullet"/>
      <w:lvlText w:val=""/>
      <w:lvlJc w:val="left"/>
      <w:pPr>
        <w:tabs>
          <w:tab w:val="num" w:pos="720"/>
        </w:tabs>
        <w:ind w:left="720" w:hanging="360"/>
      </w:pPr>
      <w:rPr>
        <w:rFonts w:ascii="Symbol" w:hAnsi="Symbol" w:hint="default"/>
      </w:rPr>
    </w:lvl>
    <w:lvl w:ilvl="1" w:tplc="6A326B90">
      <w:start w:val="1"/>
      <w:numFmt w:val="bullet"/>
      <w:lvlText w:val="o"/>
      <w:lvlJc w:val="left"/>
      <w:pPr>
        <w:tabs>
          <w:tab w:val="num" w:pos="1440"/>
        </w:tabs>
        <w:ind w:left="1440" w:hanging="360"/>
      </w:pPr>
      <w:rPr>
        <w:rFonts w:ascii="Courier New" w:hAnsi="Courier New" w:cs="Times New Roman" w:hint="default"/>
      </w:rPr>
    </w:lvl>
    <w:lvl w:ilvl="2" w:tplc="CACCA6A0">
      <w:start w:val="1"/>
      <w:numFmt w:val="bullet"/>
      <w:lvlText w:val="o"/>
      <w:lvlJc w:val="left"/>
      <w:pPr>
        <w:tabs>
          <w:tab w:val="num" w:pos="2160"/>
        </w:tabs>
        <w:ind w:left="2160" w:hanging="360"/>
      </w:pPr>
      <w:rPr>
        <w:rFonts w:ascii="Courier New" w:hAnsi="Courier New" w:cs="Times New Roman" w:hint="default"/>
      </w:rPr>
    </w:lvl>
    <w:lvl w:ilvl="3" w:tplc="B89CC12A">
      <w:start w:val="1"/>
      <w:numFmt w:val="bullet"/>
      <w:lvlText w:val="o"/>
      <w:lvlJc w:val="left"/>
      <w:pPr>
        <w:tabs>
          <w:tab w:val="num" w:pos="2880"/>
        </w:tabs>
        <w:ind w:left="2880" w:hanging="360"/>
      </w:pPr>
      <w:rPr>
        <w:rFonts w:ascii="Courier New" w:hAnsi="Courier New" w:cs="Times New Roman" w:hint="default"/>
      </w:rPr>
    </w:lvl>
    <w:lvl w:ilvl="4" w:tplc="FFE4562E">
      <w:start w:val="1"/>
      <w:numFmt w:val="bullet"/>
      <w:lvlText w:val="o"/>
      <w:lvlJc w:val="left"/>
      <w:pPr>
        <w:tabs>
          <w:tab w:val="num" w:pos="3600"/>
        </w:tabs>
        <w:ind w:left="3600" w:hanging="360"/>
      </w:pPr>
      <w:rPr>
        <w:rFonts w:ascii="Courier New" w:hAnsi="Courier New" w:cs="Times New Roman" w:hint="default"/>
      </w:rPr>
    </w:lvl>
    <w:lvl w:ilvl="5" w:tplc="AA482248">
      <w:start w:val="1"/>
      <w:numFmt w:val="bullet"/>
      <w:lvlText w:val="o"/>
      <w:lvlJc w:val="left"/>
      <w:pPr>
        <w:tabs>
          <w:tab w:val="num" w:pos="4320"/>
        </w:tabs>
        <w:ind w:left="4320" w:hanging="360"/>
      </w:pPr>
      <w:rPr>
        <w:rFonts w:ascii="Courier New" w:hAnsi="Courier New" w:cs="Times New Roman" w:hint="default"/>
      </w:rPr>
    </w:lvl>
    <w:lvl w:ilvl="6" w:tplc="A8C65E1C">
      <w:start w:val="1"/>
      <w:numFmt w:val="bullet"/>
      <w:lvlText w:val="o"/>
      <w:lvlJc w:val="left"/>
      <w:pPr>
        <w:tabs>
          <w:tab w:val="num" w:pos="5040"/>
        </w:tabs>
        <w:ind w:left="5040" w:hanging="360"/>
      </w:pPr>
      <w:rPr>
        <w:rFonts w:ascii="Courier New" w:hAnsi="Courier New" w:cs="Times New Roman" w:hint="default"/>
      </w:rPr>
    </w:lvl>
    <w:lvl w:ilvl="7" w:tplc="C7B4CF72">
      <w:start w:val="1"/>
      <w:numFmt w:val="bullet"/>
      <w:lvlText w:val="o"/>
      <w:lvlJc w:val="left"/>
      <w:pPr>
        <w:tabs>
          <w:tab w:val="num" w:pos="5760"/>
        </w:tabs>
        <w:ind w:left="5760" w:hanging="360"/>
      </w:pPr>
      <w:rPr>
        <w:rFonts w:ascii="Courier New" w:hAnsi="Courier New" w:cs="Times New Roman" w:hint="default"/>
      </w:rPr>
    </w:lvl>
    <w:lvl w:ilvl="8" w:tplc="FDDEE250">
      <w:start w:val="1"/>
      <w:numFmt w:val="bullet"/>
      <w:lvlText w:val="o"/>
      <w:lvlJc w:val="left"/>
      <w:pPr>
        <w:tabs>
          <w:tab w:val="num" w:pos="6480"/>
        </w:tabs>
        <w:ind w:left="6480" w:hanging="360"/>
      </w:pPr>
      <w:rPr>
        <w:rFonts w:ascii="Courier New" w:hAnsi="Courier New" w:cs="Times New Roman" w:hint="default"/>
      </w:rPr>
    </w:lvl>
  </w:abstractNum>
  <w:abstractNum w:abstractNumId="16" w15:restartNumberingAfterBreak="0">
    <w:nsid w:val="56A67010"/>
    <w:multiLevelType w:val="hybridMultilevel"/>
    <w:tmpl w:val="A6D48E8E"/>
    <w:lvl w:ilvl="0" w:tplc="10B2F71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6705DC"/>
    <w:multiLevelType w:val="hybridMultilevel"/>
    <w:tmpl w:val="0764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D0E1F"/>
    <w:multiLevelType w:val="hybridMultilevel"/>
    <w:tmpl w:val="C93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4F65ED"/>
    <w:multiLevelType w:val="multilevel"/>
    <w:tmpl w:val="640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A7496E"/>
    <w:multiLevelType w:val="hybridMultilevel"/>
    <w:tmpl w:val="660AE75A"/>
    <w:lvl w:ilvl="0" w:tplc="1C9A82DC">
      <w:numFmt w:val="bullet"/>
      <w:lvlText w:val=""/>
      <w:lvlJc w:val="left"/>
      <w:pPr>
        <w:ind w:left="720" w:hanging="360"/>
      </w:pPr>
      <w:rPr>
        <w:rFonts w:ascii="Symbol" w:eastAsiaTheme="minorHAnsi"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3"/>
  </w:num>
  <w:num w:numId="4">
    <w:abstractNumId w:val="10"/>
  </w:num>
  <w:num w:numId="5">
    <w:abstractNumId w:val="18"/>
  </w:num>
  <w:num w:numId="6">
    <w:abstractNumId w:val="16"/>
  </w:num>
  <w:num w:numId="7">
    <w:abstractNumId w:val="7"/>
  </w:num>
  <w:num w:numId="8">
    <w:abstractNumId w:val="11"/>
  </w:num>
  <w:num w:numId="9">
    <w:abstractNumId w:val="8"/>
  </w:num>
  <w:num w:numId="10">
    <w:abstractNumId w:val="1"/>
  </w:num>
  <w:num w:numId="11">
    <w:abstractNumId w:val="5"/>
  </w:num>
  <w:num w:numId="12">
    <w:abstractNumId w:val="14"/>
  </w:num>
  <w:num w:numId="13">
    <w:abstractNumId w:val="17"/>
  </w:num>
  <w:num w:numId="14">
    <w:abstractNumId w:val="2"/>
  </w:num>
  <w:num w:numId="15">
    <w:abstractNumId w:val="20"/>
  </w:num>
  <w:num w:numId="16">
    <w:abstractNumId w:val="15"/>
  </w:num>
  <w:num w:numId="17">
    <w:abstractNumId w:val="6"/>
  </w:num>
  <w:num w:numId="18">
    <w:abstractNumId w:val="0"/>
  </w:num>
  <w:num w:numId="19">
    <w:abstractNumId w:val="4"/>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D9"/>
    <w:rsid w:val="00002AA1"/>
    <w:rsid w:val="000050D5"/>
    <w:rsid w:val="000060A6"/>
    <w:rsid w:val="0004115D"/>
    <w:rsid w:val="00050F54"/>
    <w:rsid w:val="000633D4"/>
    <w:rsid w:val="00096D3E"/>
    <w:rsid w:val="000F17F8"/>
    <w:rsid w:val="00100A2A"/>
    <w:rsid w:val="00133A5F"/>
    <w:rsid w:val="001431DC"/>
    <w:rsid w:val="001549EE"/>
    <w:rsid w:val="00166EF1"/>
    <w:rsid w:val="001670AF"/>
    <w:rsid w:val="00180067"/>
    <w:rsid w:val="001B068D"/>
    <w:rsid w:val="001B1978"/>
    <w:rsid w:val="001C037A"/>
    <w:rsid w:val="001F150A"/>
    <w:rsid w:val="0022271A"/>
    <w:rsid w:val="00233864"/>
    <w:rsid w:val="0027189B"/>
    <w:rsid w:val="00284C45"/>
    <w:rsid w:val="002C30F6"/>
    <w:rsid w:val="00353C1D"/>
    <w:rsid w:val="00364B2F"/>
    <w:rsid w:val="003A1715"/>
    <w:rsid w:val="003C7AA1"/>
    <w:rsid w:val="003E09F8"/>
    <w:rsid w:val="003F0A5A"/>
    <w:rsid w:val="003F6EE5"/>
    <w:rsid w:val="00457771"/>
    <w:rsid w:val="004D24D2"/>
    <w:rsid w:val="004E171F"/>
    <w:rsid w:val="00541DCE"/>
    <w:rsid w:val="0055742C"/>
    <w:rsid w:val="0056694F"/>
    <w:rsid w:val="005670B1"/>
    <w:rsid w:val="0057741E"/>
    <w:rsid w:val="005B2460"/>
    <w:rsid w:val="005E1B9E"/>
    <w:rsid w:val="005F4C43"/>
    <w:rsid w:val="00616DCA"/>
    <w:rsid w:val="00647E04"/>
    <w:rsid w:val="006B5743"/>
    <w:rsid w:val="007154AC"/>
    <w:rsid w:val="00771572"/>
    <w:rsid w:val="007B5857"/>
    <w:rsid w:val="007F2827"/>
    <w:rsid w:val="00806E1E"/>
    <w:rsid w:val="00841F48"/>
    <w:rsid w:val="00862B07"/>
    <w:rsid w:val="008A5E21"/>
    <w:rsid w:val="008E6300"/>
    <w:rsid w:val="008F079E"/>
    <w:rsid w:val="008F5B65"/>
    <w:rsid w:val="00924940"/>
    <w:rsid w:val="009559F7"/>
    <w:rsid w:val="00956E67"/>
    <w:rsid w:val="00991711"/>
    <w:rsid w:val="009A4D95"/>
    <w:rsid w:val="009B6CD6"/>
    <w:rsid w:val="00A26FCB"/>
    <w:rsid w:val="00A27AE6"/>
    <w:rsid w:val="00A3219C"/>
    <w:rsid w:val="00A61FB6"/>
    <w:rsid w:val="00A92FFA"/>
    <w:rsid w:val="00AC2567"/>
    <w:rsid w:val="00AE36CA"/>
    <w:rsid w:val="00AF2481"/>
    <w:rsid w:val="00AF3BD6"/>
    <w:rsid w:val="00B02BD9"/>
    <w:rsid w:val="00B4409A"/>
    <w:rsid w:val="00B6073C"/>
    <w:rsid w:val="00C0263E"/>
    <w:rsid w:val="00C07B3E"/>
    <w:rsid w:val="00C31CE0"/>
    <w:rsid w:val="00C86984"/>
    <w:rsid w:val="00C9278B"/>
    <w:rsid w:val="00C95908"/>
    <w:rsid w:val="00D57826"/>
    <w:rsid w:val="00D74EA7"/>
    <w:rsid w:val="00D809CD"/>
    <w:rsid w:val="00D96CCA"/>
    <w:rsid w:val="00D97B84"/>
    <w:rsid w:val="00DC154E"/>
    <w:rsid w:val="00DC7763"/>
    <w:rsid w:val="00DD7633"/>
    <w:rsid w:val="00DE2541"/>
    <w:rsid w:val="00DF4758"/>
    <w:rsid w:val="00E22DDF"/>
    <w:rsid w:val="00EE7655"/>
    <w:rsid w:val="00F11185"/>
    <w:rsid w:val="00F55EBE"/>
    <w:rsid w:val="00F6665C"/>
    <w:rsid w:val="00F755A1"/>
    <w:rsid w:val="00FD4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2063B-E118-46AD-B4E9-BA58D653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33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65C"/>
    <w:pPr>
      <w:ind w:left="720"/>
      <w:contextualSpacing/>
    </w:pPr>
  </w:style>
  <w:style w:type="paragraph" w:styleId="BalloonText">
    <w:name w:val="Balloon Text"/>
    <w:basedOn w:val="Normal"/>
    <w:link w:val="BalloonTextChar"/>
    <w:uiPriority w:val="99"/>
    <w:semiHidden/>
    <w:unhideWhenUsed/>
    <w:rsid w:val="00222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71A"/>
    <w:rPr>
      <w:rFonts w:ascii="Segoe UI" w:hAnsi="Segoe UI" w:cs="Segoe UI"/>
      <w:sz w:val="18"/>
      <w:szCs w:val="18"/>
    </w:rPr>
  </w:style>
  <w:style w:type="paragraph" w:customStyle="1" w:styleId="Body">
    <w:name w:val="Body"/>
    <w:uiPriority w:val="99"/>
    <w:rsid w:val="003C7AA1"/>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eastAsia="en-GB"/>
    </w:rPr>
  </w:style>
  <w:style w:type="paragraph" w:styleId="NoSpacing">
    <w:name w:val="No Spacing"/>
    <w:uiPriority w:val="1"/>
    <w:qFormat/>
    <w:rsid w:val="000633D4"/>
    <w:pPr>
      <w:spacing w:after="0" w:line="240" w:lineRule="auto"/>
    </w:pPr>
  </w:style>
  <w:style w:type="character" w:customStyle="1" w:styleId="Heading1Char">
    <w:name w:val="Heading 1 Char"/>
    <w:basedOn w:val="DefaultParagraphFont"/>
    <w:link w:val="Heading1"/>
    <w:uiPriority w:val="9"/>
    <w:rsid w:val="000633D4"/>
    <w:rPr>
      <w:rFonts w:asciiTheme="majorHAnsi" w:eastAsiaTheme="majorEastAsia" w:hAnsiTheme="majorHAnsi" w:cstheme="majorBidi"/>
      <w:color w:val="2F5496" w:themeColor="accent1" w:themeShade="BF"/>
      <w:sz w:val="32"/>
      <w:szCs w:val="32"/>
    </w:rPr>
  </w:style>
  <w:style w:type="character" w:styleId="Hyperlink">
    <w:name w:val="Hyperlink"/>
    <w:rsid w:val="00806E1E"/>
    <w:rPr>
      <w:u w:val="single"/>
    </w:rPr>
  </w:style>
  <w:style w:type="character" w:customStyle="1" w:styleId="UnresolvedMention">
    <w:name w:val="Unresolved Mention"/>
    <w:basedOn w:val="DefaultParagraphFont"/>
    <w:uiPriority w:val="99"/>
    <w:semiHidden/>
    <w:unhideWhenUsed/>
    <w:rsid w:val="00647E04"/>
    <w:rPr>
      <w:color w:val="605E5C"/>
      <w:shd w:val="clear" w:color="auto" w:fill="E1DFDD"/>
    </w:rPr>
  </w:style>
  <w:style w:type="paragraph" w:styleId="NormalWeb">
    <w:name w:val="Normal (Web)"/>
    <w:basedOn w:val="Normal"/>
    <w:uiPriority w:val="99"/>
    <w:semiHidden/>
    <w:unhideWhenUsed/>
    <w:rsid w:val="00D97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97B84"/>
    <w:rPr>
      <w:i/>
      <w:iCs/>
    </w:rPr>
  </w:style>
  <w:style w:type="character" w:styleId="Strong">
    <w:name w:val="Strong"/>
    <w:basedOn w:val="DefaultParagraphFont"/>
    <w:uiPriority w:val="22"/>
    <w:qFormat/>
    <w:rsid w:val="00D97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0656">
      <w:bodyDiv w:val="1"/>
      <w:marLeft w:val="0"/>
      <w:marRight w:val="0"/>
      <w:marTop w:val="0"/>
      <w:marBottom w:val="0"/>
      <w:divBdr>
        <w:top w:val="none" w:sz="0" w:space="0" w:color="auto"/>
        <w:left w:val="none" w:sz="0" w:space="0" w:color="auto"/>
        <w:bottom w:val="none" w:sz="0" w:space="0" w:color="auto"/>
        <w:right w:val="none" w:sz="0" w:space="0" w:color="auto"/>
      </w:divBdr>
    </w:div>
    <w:div w:id="108475765">
      <w:bodyDiv w:val="1"/>
      <w:marLeft w:val="0"/>
      <w:marRight w:val="0"/>
      <w:marTop w:val="0"/>
      <w:marBottom w:val="0"/>
      <w:divBdr>
        <w:top w:val="none" w:sz="0" w:space="0" w:color="auto"/>
        <w:left w:val="none" w:sz="0" w:space="0" w:color="auto"/>
        <w:bottom w:val="none" w:sz="0" w:space="0" w:color="auto"/>
        <w:right w:val="none" w:sz="0" w:space="0" w:color="auto"/>
      </w:divBdr>
      <w:divsChild>
        <w:div w:id="294727086">
          <w:marLeft w:val="0"/>
          <w:marRight w:val="0"/>
          <w:marTop w:val="0"/>
          <w:marBottom w:val="225"/>
          <w:divBdr>
            <w:top w:val="none" w:sz="0" w:space="0" w:color="auto"/>
            <w:left w:val="none" w:sz="0" w:space="0" w:color="auto"/>
            <w:bottom w:val="none" w:sz="0" w:space="0" w:color="auto"/>
            <w:right w:val="none" w:sz="0" w:space="0" w:color="auto"/>
          </w:divBdr>
        </w:div>
      </w:divsChild>
    </w:div>
    <w:div w:id="355733953">
      <w:bodyDiv w:val="1"/>
      <w:marLeft w:val="0"/>
      <w:marRight w:val="0"/>
      <w:marTop w:val="0"/>
      <w:marBottom w:val="0"/>
      <w:divBdr>
        <w:top w:val="none" w:sz="0" w:space="0" w:color="auto"/>
        <w:left w:val="none" w:sz="0" w:space="0" w:color="auto"/>
        <w:bottom w:val="none" w:sz="0" w:space="0" w:color="auto"/>
        <w:right w:val="none" w:sz="0" w:space="0" w:color="auto"/>
      </w:divBdr>
    </w:div>
    <w:div w:id="398479028">
      <w:bodyDiv w:val="1"/>
      <w:marLeft w:val="0"/>
      <w:marRight w:val="0"/>
      <w:marTop w:val="0"/>
      <w:marBottom w:val="0"/>
      <w:divBdr>
        <w:top w:val="none" w:sz="0" w:space="0" w:color="auto"/>
        <w:left w:val="none" w:sz="0" w:space="0" w:color="auto"/>
        <w:bottom w:val="none" w:sz="0" w:space="0" w:color="auto"/>
        <w:right w:val="none" w:sz="0" w:space="0" w:color="auto"/>
      </w:divBdr>
    </w:div>
    <w:div w:id="434250133">
      <w:bodyDiv w:val="1"/>
      <w:marLeft w:val="0"/>
      <w:marRight w:val="0"/>
      <w:marTop w:val="0"/>
      <w:marBottom w:val="0"/>
      <w:divBdr>
        <w:top w:val="none" w:sz="0" w:space="0" w:color="auto"/>
        <w:left w:val="none" w:sz="0" w:space="0" w:color="auto"/>
        <w:bottom w:val="none" w:sz="0" w:space="0" w:color="auto"/>
        <w:right w:val="none" w:sz="0" w:space="0" w:color="auto"/>
      </w:divBdr>
    </w:div>
    <w:div w:id="624310757">
      <w:bodyDiv w:val="1"/>
      <w:marLeft w:val="0"/>
      <w:marRight w:val="0"/>
      <w:marTop w:val="0"/>
      <w:marBottom w:val="0"/>
      <w:divBdr>
        <w:top w:val="none" w:sz="0" w:space="0" w:color="auto"/>
        <w:left w:val="none" w:sz="0" w:space="0" w:color="auto"/>
        <w:bottom w:val="none" w:sz="0" w:space="0" w:color="auto"/>
        <w:right w:val="none" w:sz="0" w:space="0" w:color="auto"/>
      </w:divBdr>
    </w:div>
    <w:div w:id="1118063012">
      <w:bodyDiv w:val="1"/>
      <w:marLeft w:val="0"/>
      <w:marRight w:val="0"/>
      <w:marTop w:val="0"/>
      <w:marBottom w:val="0"/>
      <w:divBdr>
        <w:top w:val="none" w:sz="0" w:space="0" w:color="auto"/>
        <w:left w:val="none" w:sz="0" w:space="0" w:color="auto"/>
        <w:bottom w:val="none" w:sz="0" w:space="0" w:color="auto"/>
        <w:right w:val="none" w:sz="0" w:space="0" w:color="auto"/>
      </w:divBdr>
    </w:div>
    <w:div w:id="1404524803">
      <w:bodyDiv w:val="1"/>
      <w:marLeft w:val="0"/>
      <w:marRight w:val="0"/>
      <w:marTop w:val="0"/>
      <w:marBottom w:val="0"/>
      <w:divBdr>
        <w:top w:val="none" w:sz="0" w:space="0" w:color="auto"/>
        <w:left w:val="none" w:sz="0" w:space="0" w:color="auto"/>
        <w:bottom w:val="none" w:sz="0" w:space="0" w:color="auto"/>
        <w:right w:val="none" w:sz="0" w:space="0" w:color="auto"/>
      </w:divBdr>
    </w:div>
    <w:div w:id="1456872919">
      <w:bodyDiv w:val="1"/>
      <w:marLeft w:val="0"/>
      <w:marRight w:val="0"/>
      <w:marTop w:val="0"/>
      <w:marBottom w:val="0"/>
      <w:divBdr>
        <w:top w:val="none" w:sz="0" w:space="0" w:color="auto"/>
        <w:left w:val="none" w:sz="0" w:space="0" w:color="auto"/>
        <w:bottom w:val="none" w:sz="0" w:space="0" w:color="auto"/>
        <w:right w:val="none" w:sz="0" w:space="0" w:color="auto"/>
      </w:divBdr>
    </w:div>
    <w:div w:id="15538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undationforintermediaries.co.uk/residential/" TargetMode="External"/><Relationship Id="rId3" Type="http://schemas.openxmlformats.org/officeDocument/2006/relationships/settings" Target="settings.xml"/><Relationship Id="rId7" Type="http://schemas.openxmlformats.org/officeDocument/2006/relationships/hyperlink" Target="https://www.financialreporter.co.uk/mortgages/half-of-high-net-worth-individuals-have-been-rejected-for-a-mortga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undationforintermediaries.co.uk/2.%09https:/www.thetimes.co.uk/article/money-lenders-shun-the-self-employed-for-being-too-complex-and-too-risky-svvsqqvsw"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undationforintermediaries.co.uk/resid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3420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Newell, Katie</dc:creator>
  <cp:keywords/>
  <dc:description/>
  <cp:lastModifiedBy>Rebecca Marks</cp:lastModifiedBy>
  <cp:revision>2</cp:revision>
  <dcterms:created xsi:type="dcterms:W3CDTF">2021-04-22T13:32:00Z</dcterms:created>
  <dcterms:modified xsi:type="dcterms:W3CDTF">2021-04-22T13:32:00Z</dcterms:modified>
</cp:coreProperties>
</file>